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6D" w:rsidRPr="004C272F" w:rsidRDefault="006C6D6D" w:rsidP="006C6D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C272F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DeRock</w:t>
      </w:r>
      <w:r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4C272F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DG</w:t>
      </w:r>
      <w:r w:rsidR="001901FC"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-</w:t>
      </w:r>
      <w:r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1</w:t>
      </w:r>
      <w:r w:rsidR="00133162"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5 </w:t>
      </w:r>
      <w:r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Грунтовка глубокопроникающая</w:t>
      </w:r>
      <w:r w:rsidR="008B60D0" w:rsidRPr="004C272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(концентрат)</w:t>
      </w:r>
    </w:p>
    <w:p w:rsidR="00031D16" w:rsidRPr="004C272F" w:rsidRDefault="00031D16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72F">
        <w:rPr>
          <w:rFonts w:ascii="Times New Roman" w:eastAsia="Calibri" w:hAnsi="Times New Roman" w:cs="Times New Roman"/>
          <w:sz w:val="28"/>
          <w:szCs w:val="28"/>
          <w:lang w:eastAsia="en-US"/>
        </w:rPr>
        <w:t>Грунтовка универсальная глубокого проникновения,</w:t>
      </w:r>
    </w:p>
    <w:p w:rsidR="006C6D6D" w:rsidRPr="004C272F" w:rsidRDefault="008B60D0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72F">
        <w:rPr>
          <w:rFonts w:ascii="Times New Roman" w:eastAsia="Calibri" w:hAnsi="Times New Roman" w:cs="Times New Roman"/>
          <w:sz w:val="28"/>
          <w:szCs w:val="28"/>
          <w:lang w:eastAsia="en-US"/>
        </w:rPr>
        <w:t>концентрированная</w:t>
      </w:r>
      <w:r w:rsidR="00031D16" w:rsidRPr="004C27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2FB8" w:rsidRPr="006C6D6D" w:rsidRDefault="00252FB8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DDE" w:rsidRPr="00407FBA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Свойства:</w:t>
      </w:r>
    </w:p>
    <w:p w:rsidR="00252FB8" w:rsidRDefault="00252FB8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>-</w:t>
      </w:r>
      <w:r w:rsidR="00CB6DDE" w:rsidRPr="00D8682C">
        <w:rPr>
          <w:rFonts w:ascii="Times New Roman" w:hAnsi="Times New Roman" w:cs="Times New Roman"/>
          <w:lang w:eastAsia="en-US"/>
        </w:rPr>
        <w:t xml:space="preserve"> высокая проникающая способность</w:t>
      </w:r>
      <w:r w:rsidRPr="00D8682C">
        <w:rPr>
          <w:rFonts w:ascii="Times New Roman" w:hAnsi="Times New Roman" w:cs="Times New Roman"/>
          <w:lang w:eastAsia="en-US"/>
        </w:rPr>
        <w:t>;</w:t>
      </w:r>
    </w:p>
    <w:p w:rsidR="007A433C" w:rsidRPr="00D8682C" w:rsidRDefault="007A433C" w:rsidP="00D8682C">
      <w:pPr>
        <w:pStyle w:val="a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поставляется в концентрированном виде;</w:t>
      </w:r>
    </w:p>
    <w:p w:rsidR="00252FB8" w:rsidRPr="00D8682C" w:rsidRDefault="00252FB8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 xml:space="preserve">- </w:t>
      </w:r>
      <w:r w:rsidR="00CB6DDE" w:rsidRPr="00D8682C">
        <w:rPr>
          <w:rFonts w:ascii="Times New Roman" w:hAnsi="Times New Roman" w:cs="Times New Roman"/>
          <w:lang w:eastAsia="en-US"/>
        </w:rPr>
        <w:t>укрепляет</w:t>
      </w:r>
      <w:r w:rsidR="00D8682C">
        <w:rPr>
          <w:rFonts w:ascii="Times New Roman" w:hAnsi="Times New Roman" w:cs="Times New Roman"/>
          <w:lang w:eastAsia="en-US"/>
        </w:rPr>
        <w:t xml:space="preserve"> и обеспыливает</w:t>
      </w:r>
      <w:r w:rsidR="00CB6DDE" w:rsidRPr="00D8682C">
        <w:rPr>
          <w:rFonts w:ascii="Times New Roman" w:hAnsi="Times New Roman" w:cs="Times New Roman"/>
          <w:lang w:eastAsia="en-US"/>
        </w:rPr>
        <w:t xml:space="preserve"> поверхность основания;</w:t>
      </w:r>
    </w:p>
    <w:p w:rsidR="00CB6DDE" w:rsidRPr="00D8682C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 xml:space="preserve">- снижает </w:t>
      </w:r>
      <w:r w:rsidR="00B74992" w:rsidRPr="00D8682C">
        <w:rPr>
          <w:rFonts w:ascii="Times New Roman" w:hAnsi="Times New Roman" w:cs="Times New Roman"/>
          <w:lang w:eastAsia="en-US"/>
        </w:rPr>
        <w:t>вод</w:t>
      </w:r>
      <w:r w:rsidR="009F441F">
        <w:rPr>
          <w:rFonts w:ascii="Times New Roman" w:hAnsi="Times New Roman" w:cs="Times New Roman"/>
          <w:lang w:eastAsia="en-US"/>
        </w:rPr>
        <w:t>о</w:t>
      </w:r>
      <w:r w:rsidR="00B74992" w:rsidRPr="00D8682C">
        <w:rPr>
          <w:rFonts w:ascii="Times New Roman" w:hAnsi="Times New Roman" w:cs="Times New Roman"/>
          <w:lang w:eastAsia="en-US"/>
        </w:rPr>
        <w:t>поглощающую</w:t>
      </w:r>
      <w:r w:rsidRPr="00D8682C">
        <w:rPr>
          <w:rFonts w:ascii="Times New Roman" w:hAnsi="Times New Roman" w:cs="Times New Roman"/>
          <w:lang w:eastAsia="en-US"/>
        </w:rPr>
        <w:t xml:space="preserve"> способность основания;</w:t>
      </w:r>
    </w:p>
    <w:p w:rsidR="00CB6DDE" w:rsidRPr="00D8682C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 xml:space="preserve">- </w:t>
      </w:r>
      <w:r w:rsidR="001114BE">
        <w:rPr>
          <w:rFonts w:ascii="Times New Roman" w:hAnsi="Times New Roman" w:cs="Times New Roman"/>
          <w:lang w:eastAsia="en-US"/>
        </w:rPr>
        <w:t>блокирует</w:t>
      </w:r>
      <w:r w:rsidRPr="00D8682C">
        <w:rPr>
          <w:rFonts w:ascii="Times New Roman" w:hAnsi="Times New Roman" w:cs="Times New Roman"/>
          <w:lang w:eastAsia="en-US"/>
        </w:rPr>
        <w:t xml:space="preserve"> миграцию растворимых веществ из основания;</w:t>
      </w:r>
    </w:p>
    <w:p w:rsidR="00B74992" w:rsidRPr="00D8682C" w:rsidRDefault="00B74992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>- повышает адгезию материалов к основанию</w:t>
      </w:r>
      <w:r w:rsidR="007A433C">
        <w:rPr>
          <w:rFonts w:ascii="Times New Roman" w:hAnsi="Times New Roman" w:cs="Times New Roman"/>
          <w:lang w:eastAsia="en-US"/>
        </w:rPr>
        <w:t>;</w:t>
      </w:r>
    </w:p>
    <w:p w:rsidR="00CB6DDE" w:rsidRPr="00D8682C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>- паропроницаемая;</w:t>
      </w:r>
    </w:p>
    <w:p w:rsidR="00CB6DDE" w:rsidRPr="00D8682C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>- для наружных и внутренних работ;</w:t>
      </w:r>
    </w:p>
    <w:p w:rsidR="00252FB8" w:rsidRPr="00D8682C" w:rsidRDefault="00252FB8" w:rsidP="00D8682C">
      <w:pPr>
        <w:pStyle w:val="a7"/>
        <w:rPr>
          <w:rFonts w:ascii="Times New Roman" w:hAnsi="Times New Roman" w:cs="Times New Roman"/>
          <w:color w:val="FF0000"/>
          <w:lang w:eastAsia="en-US"/>
        </w:rPr>
      </w:pPr>
      <w:r w:rsidRPr="00D8682C">
        <w:rPr>
          <w:rFonts w:ascii="Times New Roman" w:hAnsi="Times New Roman" w:cs="Times New Roman"/>
          <w:lang w:eastAsia="en-US"/>
        </w:rPr>
        <w:t>- экологически безопас</w:t>
      </w:r>
      <w:r w:rsidR="00CB6DDE" w:rsidRPr="00D8682C">
        <w:rPr>
          <w:rFonts w:ascii="Times New Roman" w:hAnsi="Times New Roman" w:cs="Times New Roman"/>
          <w:lang w:eastAsia="en-US"/>
        </w:rPr>
        <w:t>на</w:t>
      </w:r>
      <w:r w:rsidRPr="00D8682C">
        <w:rPr>
          <w:rFonts w:ascii="Times New Roman" w:hAnsi="Times New Roman" w:cs="Times New Roman"/>
          <w:lang w:eastAsia="en-US"/>
        </w:rPr>
        <w:t>.</w:t>
      </w:r>
    </w:p>
    <w:p w:rsidR="00CB6DDE" w:rsidRPr="00E57E7C" w:rsidRDefault="00CB6DD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407FBA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Область применения:</w:t>
      </w:r>
    </w:p>
    <w:p w:rsidR="00252FB8" w:rsidRPr="00C7052B" w:rsidRDefault="009D0990" w:rsidP="00C7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B">
        <w:rPr>
          <w:rFonts w:ascii="Times New Roman" w:hAnsi="Times New Roman" w:cs="Times New Roman"/>
          <w:sz w:val="24"/>
          <w:szCs w:val="24"/>
        </w:rPr>
        <w:t xml:space="preserve">Грунтовка глубокопроникающая </w:t>
      </w:r>
      <w:r w:rsidR="001114BE" w:rsidRPr="00C7052B">
        <w:rPr>
          <w:rFonts w:ascii="Times New Roman" w:hAnsi="Times New Roman" w:cs="Times New Roman"/>
          <w:sz w:val="24"/>
          <w:szCs w:val="24"/>
        </w:rPr>
        <w:t xml:space="preserve">воднодисперсионная </w:t>
      </w:r>
      <w:r w:rsidR="00FD0D09">
        <w:rPr>
          <w:rFonts w:ascii="Times New Roman" w:hAnsi="Times New Roman" w:cs="Times New Roman"/>
          <w:sz w:val="24"/>
          <w:szCs w:val="24"/>
        </w:rPr>
        <w:t xml:space="preserve">концентрированная </w:t>
      </w:r>
      <w:r w:rsidRPr="00C7052B">
        <w:rPr>
          <w:rFonts w:ascii="Times New Roman" w:hAnsi="Times New Roman" w:cs="Times New Roman"/>
          <w:sz w:val="24"/>
          <w:szCs w:val="24"/>
        </w:rPr>
        <w:t>DeRock DG-1</w:t>
      </w:r>
      <w:r w:rsidR="00133162">
        <w:rPr>
          <w:rFonts w:ascii="Times New Roman" w:hAnsi="Times New Roman" w:cs="Times New Roman"/>
          <w:sz w:val="24"/>
          <w:szCs w:val="24"/>
        </w:rPr>
        <w:t>5 после разведения до рабочей консистенции</w:t>
      </w:r>
      <w:r w:rsidRPr="00C7052B"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поверхности впитывающих, сильно впитывающих и непрочных оснований перед последующим нанесением слоев отделочных материалов</w:t>
      </w:r>
      <w:r w:rsidR="00D8682C" w:rsidRPr="00C7052B">
        <w:rPr>
          <w:rFonts w:ascii="Times New Roman" w:hAnsi="Times New Roman" w:cs="Times New Roman"/>
          <w:sz w:val="24"/>
          <w:szCs w:val="24"/>
        </w:rPr>
        <w:t xml:space="preserve"> -</w:t>
      </w:r>
      <w:r w:rsidRPr="00C7052B">
        <w:rPr>
          <w:rFonts w:ascii="Times New Roman" w:hAnsi="Times New Roman" w:cs="Times New Roman"/>
          <w:sz w:val="24"/>
          <w:szCs w:val="24"/>
        </w:rPr>
        <w:t xml:space="preserve"> штукатур</w:t>
      </w:r>
      <w:r w:rsidR="00D8682C" w:rsidRPr="00C7052B">
        <w:rPr>
          <w:rFonts w:ascii="Times New Roman" w:hAnsi="Times New Roman" w:cs="Times New Roman"/>
          <w:sz w:val="24"/>
          <w:szCs w:val="24"/>
        </w:rPr>
        <w:t>ок</w:t>
      </w:r>
      <w:r w:rsidRPr="00C7052B">
        <w:rPr>
          <w:rFonts w:ascii="Times New Roman" w:hAnsi="Times New Roman" w:cs="Times New Roman"/>
          <w:sz w:val="24"/>
          <w:szCs w:val="24"/>
        </w:rPr>
        <w:t>,</w:t>
      </w:r>
      <w:r w:rsidR="00D8682C" w:rsidRPr="00C7052B">
        <w:rPr>
          <w:rFonts w:ascii="Times New Roman" w:hAnsi="Times New Roman" w:cs="Times New Roman"/>
          <w:sz w:val="24"/>
          <w:szCs w:val="24"/>
        </w:rPr>
        <w:t xml:space="preserve"> шпатлевок, стяжек, плиточных клеев, красок, гидроизоляционных мастик</w:t>
      </w:r>
      <w:r w:rsidR="009F441F" w:rsidRPr="00C7052B">
        <w:rPr>
          <w:rFonts w:ascii="Times New Roman" w:hAnsi="Times New Roman" w:cs="Times New Roman"/>
          <w:sz w:val="24"/>
          <w:szCs w:val="24"/>
        </w:rPr>
        <w:t xml:space="preserve"> и т.п</w:t>
      </w:r>
      <w:r w:rsidR="00D8682C" w:rsidRPr="00C7052B">
        <w:rPr>
          <w:rFonts w:ascii="Times New Roman" w:hAnsi="Times New Roman" w:cs="Times New Roman"/>
          <w:sz w:val="24"/>
          <w:szCs w:val="24"/>
        </w:rPr>
        <w:t xml:space="preserve">. </w:t>
      </w:r>
      <w:r w:rsidRPr="00C7052B">
        <w:rPr>
          <w:rFonts w:ascii="Times New Roman" w:hAnsi="Times New Roman" w:cs="Times New Roman"/>
          <w:sz w:val="24"/>
          <w:szCs w:val="24"/>
        </w:rPr>
        <w:t xml:space="preserve">Применяется для наружных и внутренних работ </w:t>
      </w:r>
      <w:r w:rsidR="00FD0D09">
        <w:rPr>
          <w:rFonts w:ascii="Times New Roman" w:hAnsi="Times New Roman" w:cs="Times New Roman"/>
          <w:sz w:val="24"/>
          <w:szCs w:val="24"/>
        </w:rPr>
        <w:t>на</w:t>
      </w:r>
      <w:r w:rsidRPr="00C7052B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FD0D09">
        <w:rPr>
          <w:rFonts w:ascii="Times New Roman" w:hAnsi="Times New Roman" w:cs="Times New Roman"/>
          <w:sz w:val="24"/>
          <w:szCs w:val="24"/>
        </w:rPr>
        <w:t>х</w:t>
      </w:r>
      <w:r w:rsidRPr="00C7052B">
        <w:rPr>
          <w:rFonts w:ascii="Times New Roman" w:hAnsi="Times New Roman" w:cs="Times New Roman"/>
          <w:sz w:val="24"/>
          <w:szCs w:val="24"/>
        </w:rPr>
        <w:t xml:space="preserve"> из </w:t>
      </w:r>
      <w:r w:rsidR="009F441F" w:rsidRPr="004F13F1">
        <w:rPr>
          <w:rFonts w:ascii="Times New Roman" w:hAnsi="Times New Roman" w:cs="Times New Roman"/>
          <w:sz w:val="24"/>
          <w:szCs w:val="24"/>
        </w:rPr>
        <w:t>бетона,</w:t>
      </w:r>
      <w:r w:rsidR="009F441F" w:rsidRPr="00C7052B">
        <w:rPr>
          <w:rFonts w:ascii="Times New Roman" w:hAnsi="Times New Roman" w:cs="Times New Roman"/>
          <w:sz w:val="24"/>
          <w:szCs w:val="24"/>
        </w:rPr>
        <w:t xml:space="preserve"> ячеистого</w:t>
      </w:r>
      <w:r w:rsidR="00D8682C" w:rsidRPr="00C7052B">
        <w:rPr>
          <w:rFonts w:ascii="Times New Roman" w:hAnsi="Times New Roman" w:cs="Times New Roman"/>
          <w:sz w:val="24"/>
          <w:szCs w:val="24"/>
        </w:rPr>
        <w:t xml:space="preserve"> бетона, </w:t>
      </w:r>
      <w:r w:rsidR="009F441F" w:rsidRPr="00C7052B">
        <w:rPr>
          <w:rFonts w:ascii="Times New Roman" w:hAnsi="Times New Roman" w:cs="Times New Roman"/>
          <w:sz w:val="24"/>
          <w:szCs w:val="24"/>
        </w:rPr>
        <w:t>кирпичной кладки, штукатурки, шпатлевки, стяжки</w:t>
      </w:r>
      <w:r w:rsidR="001114BE" w:rsidRPr="00C7052B">
        <w:rPr>
          <w:rFonts w:ascii="Times New Roman" w:hAnsi="Times New Roman" w:cs="Times New Roman"/>
          <w:sz w:val="24"/>
          <w:szCs w:val="24"/>
        </w:rPr>
        <w:t>, наливных полов,</w:t>
      </w:r>
      <w:r w:rsidR="009F441F" w:rsidRPr="00C7052B">
        <w:rPr>
          <w:rFonts w:ascii="Times New Roman" w:hAnsi="Times New Roman" w:cs="Times New Roman"/>
          <w:sz w:val="24"/>
          <w:szCs w:val="24"/>
        </w:rPr>
        <w:t xml:space="preserve"> гипсокартона, ДСП, ЦСП и т.п</w:t>
      </w:r>
      <w:r w:rsidR="009F441F" w:rsidRPr="007A433C">
        <w:rPr>
          <w:rFonts w:ascii="Times New Roman" w:hAnsi="Times New Roman" w:cs="Times New Roman"/>
          <w:sz w:val="24"/>
          <w:szCs w:val="24"/>
        </w:rPr>
        <w:t>.</w:t>
      </w:r>
      <w:r w:rsidR="00C7052B" w:rsidRPr="007A433C">
        <w:rPr>
          <w:rFonts w:ascii="Times New Roman" w:hAnsi="Times New Roman" w:cs="Times New Roman"/>
          <w:sz w:val="24"/>
          <w:szCs w:val="24"/>
        </w:rPr>
        <w:t xml:space="preserve"> Грунтовку нельзя использовать в качестве финишного декоративного или защитного покрытия.</w:t>
      </w:r>
    </w:p>
    <w:p w:rsidR="00D8682C" w:rsidRPr="00C7052B" w:rsidRDefault="00D8682C" w:rsidP="00C7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B8" w:rsidRPr="00407FBA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Подго</w:t>
      </w:r>
      <w:bookmarkStart w:id="0" w:name="_GoBack"/>
      <w:bookmarkEnd w:id="0"/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товка основания:</w:t>
      </w:r>
    </w:p>
    <w:p w:rsidR="001114BE" w:rsidRDefault="00123796" w:rsidP="00C705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3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 должно соответствовать требованиям СП 71.13330.2017. </w:t>
      </w:r>
      <w:r w:rsidR="001114BE" w:rsidRPr="00C7052B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стабильным, сухим и ровным, очищенным от пыли, грязи, извести, масел, жира, битума и остатков масляных и эмульсионных красок. Непрочные, рыхлые или отслаивающиеся участки основания следует механически устранить и выровнять. </w:t>
      </w:r>
      <w:r w:rsidR="00C7052B" w:rsidRPr="00C7052B">
        <w:rPr>
          <w:rFonts w:ascii="Times New Roman" w:hAnsi="Times New Roman" w:cs="Times New Roman"/>
          <w:sz w:val="24"/>
          <w:szCs w:val="24"/>
        </w:rPr>
        <w:t>Основание не должно быть покрыто льдом, снегом или инеем.</w:t>
      </w:r>
      <w:r w:rsidR="00C7052B">
        <w:rPr>
          <w:rFonts w:ascii="Times New Roman" w:hAnsi="Times New Roman" w:cs="Times New Roman"/>
          <w:sz w:val="24"/>
          <w:szCs w:val="24"/>
        </w:rPr>
        <w:t xml:space="preserve"> </w:t>
      </w:r>
      <w:r w:rsidR="001114BE" w:rsidRPr="00C7052B">
        <w:rPr>
          <w:rFonts w:ascii="Times New Roman" w:hAnsi="Times New Roman" w:cs="Times New Roman"/>
          <w:sz w:val="24"/>
          <w:szCs w:val="24"/>
        </w:rPr>
        <w:t>Основания, пораженные грибком, мхом, плесенью очистить стальными щетками и обработать соответствующим биоцидным средством.</w:t>
      </w:r>
      <w:r w:rsidR="005C7D3C" w:rsidRPr="00C7052B">
        <w:rPr>
          <w:rFonts w:ascii="Times New Roman" w:hAnsi="Times New Roman" w:cs="Times New Roman"/>
          <w:sz w:val="24"/>
          <w:szCs w:val="24"/>
        </w:rPr>
        <w:t xml:space="preserve"> </w:t>
      </w:r>
      <w:r w:rsidR="005C7D3C" w:rsidRPr="001114BE">
        <w:rPr>
          <w:rFonts w:ascii="Times New Roman" w:hAnsi="Times New Roman" w:cs="Times New Roman"/>
          <w:sz w:val="24"/>
          <w:szCs w:val="24"/>
        </w:rPr>
        <w:t xml:space="preserve">Прилегающие поверхности, которые не должны быть </w:t>
      </w:r>
      <w:r w:rsidR="00C7052B">
        <w:rPr>
          <w:rFonts w:ascii="Times New Roman" w:hAnsi="Times New Roman" w:cs="Times New Roman"/>
          <w:sz w:val="24"/>
          <w:szCs w:val="24"/>
        </w:rPr>
        <w:t>загрунтованы</w:t>
      </w:r>
      <w:r w:rsidR="005C7D3C" w:rsidRPr="001114BE">
        <w:rPr>
          <w:rFonts w:ascii="Times New Roman" w:hAnsi="Times New Roman" w:cs="Times New Roman"/>
          <w:sz w:val="24"/>
          <w:szCs w:val="24"/>
        </w:rPr>
        <w:t>, требуется надлежащим образом защитить.</w:t>
      </w:r>
    </w:p>
    <w:p w:rsidR="00C7052B" w:rsidRPr="009D0990" w:rsidRDefault="00C7052B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407FBA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применения:</w:t>
      </w:r>
    </w:p>
    <w:p w:rsidR="00133162" w:rsidRDefault="007B38E1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B">
        <w:rPr>
          <w:rFonts w:ascii="Times New Roman" w:hAnsi="Times New Roman" w:cs="Times New Roman"/>
          <w:sz w:val="24"/>
          <w:szCs w:val="24"/>
        </w:rPr>
        <w:t>Грунтовка глубокопроникающая воднодисперсионная DeRock DG-1</w:t>
      </w:r>
      <w:r w:rsidR="001331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поставляется </w:t>
      </w:r>
      <w:r w:rsidR="00133162">
        <w:rPr>
          <w:rFonts w:ascii="Times New Roman" w:hAnsi="Times New Roman" w:cs="Times New Roman"/>
          <w:sz w:val="24"/>
          <w:szCs w:val="24"/>
        </w:rPr>
        <w:t xml:space="preserve">в концентрированном виде. </w:t>
      </w:r>
      <w:r w:rsidR="00AA4EB9" w:rsidRPr="002267BD">
        <w:rPr>
          <w:rFonts w:ascii="Times New Roman" w:hAnsi="Times New Roman" w:cs="Times New Roman"/>
          <w:b/>
          <w:sz w:val="24"/>
          <w:szCs w:val="24"/>
        </w:rPr>
        <w:t>БЕЗ РАЗБАВЛЕНИЯ НЕ ПРИМЕНЯТЬ</w:t>
      </w:r>
      <w:r w:rsidR="00083E2D" w:rsidRPr="002267BD">
        <w:rPr>
          <w:rFonts w:ascii="Times New Roman" w:hAnsi="Times New Roman" w:cs="Times New Roman"/>
          <w:b/>
          <w:sz w:val="24"/>
          <w:szCs w:val="24"/>
        </w:rPr>
        <w:t>!</w:t>
      </w:r>
      <w:r w:rsidR="00083E2D">
        <w:rPr>
          <w:rFonts w:ascii="Times New Roman" w:hAnsi="Times New Roman" w:cs="Times New Roman"/>
          <w:sz w:val="24"/>
          <w:szCs w:val="24"/>
        </w:rPr>
        <w:t xml:space="preserve"> </w:t>
      </w:r>
      <w:r w:rsidR="00133162">
        <w:rPr>
          <w:rFonts w:ascii="Times New Roman" w:hAnsi="Times New Roman" w:cs="Times New Roman"/>
          <w:sz w:val="24"/>
          <w:szCs w:val="24"/>
        </w:rPr>
        <w:t xml:space="preserve">В зависимости от типа обрабатываемого основания </w:t>
      </w:r>
      <w:r w:rsidR="00FD0D09">
        <w:rPr>
          <w:rFonts w:ascii="Times New Roman" w:hAnsi="Times New Roman" w:cs="Times New Roman"/>
          <w:sz w:val="24"/>
          <w:szCs w:val="24"/>
        </w:rPr>
        <w:t>необходимо приготовить</w:t>
      </w:r>
      <w:r w:rsidR="00133162">
        <w:rPr>
          <w:rFonts w:ascii="Times New Roman" w:hAnsi="Times New Roman" w:cs="Times New Roman"/>
          <w:sz w:val="24"/>
          <w:szCs w:val="24"/>
        </w:rPr>
        <w:t xml:space="preserve"> </w:t>
      </w:r>
      <w:r w:rsidR="00FD0D09">
        <w:rPr>
          <w:rFonts w:ascii="Times New Roman" w:hAnsi="Times New Roman" w:cs="Times New Roman"/>
          <w:sz w:val="24"/>
          <w:szCs w:val="24"/>
        </w:rPr>
        <w:t>грунтовочный состав рабочей</w:t>
      </w:r>
      <w:r w:rsidR="00133162">
        <w:rPr>
          <w:rFonts w:ascii="Times New Roman" w:hAnsi="Times New Roman" w:cs="Times New Roman"/>
          <w:sz w:val="24"/>
          <w:szCs w:val="24"/>
        </w:rPr>
        <w:t xml:space="preserve"> консистенци</w:t>
      </w:r>
      <w:r w:rsidR="00FD0D09">
        <w:rPr>
          <w:rFonts w:ascii="Times New Roman" w:hAnsi="Times New Roman" w:cs="Times New Roman"/>
          <w:sz w:val="24"/>
          <w:szCs w:val="24"/>
        </w:rPr>
        <w:t xml:space="preserve">и (см. п. Рекомендации по разбавлению). </w:t>
      </w:r>
      <w:r w:rsidR="00344D07" w:rsidRPr="00385E0F">
        <w:rPr>
          <w:rFonts w:ascii="Times New Roman" w:hAnsi="Times New Roman" w:cs="Times New Roman"/>
          <w:sz w:val="24"/>
          <w:szCs w:val="24"/>
        </w:rPr>
        <w:t xml:space="preserve">Перед применением </w:t>
      </w:r>
      <w:r w:rsidR="00344D07">
        <w:rPr>
          <w:rFonts w:ascii="Times New Roman" w:hAnsi="Times New Roman" w:cs="Times New Roman"/>
          <w:sz w:val="24"/>
          <w:szCs w:val="24"/>
        </w:rPr>
        <w:t xml:space="preserve">приготовленный </w:t>
      </w:r>
      <w:r w:rsidR="00344D07" w:rsidRPr="00385E0F">
        <w:rPr>
          <w:rFonts w:ascii="Times New Roman" w:hAnsi="Times New Roman" w:cs="Times New Roman"/>
          <w:sz w:val="24"/>
          <w:szCs w:val="24"/>
        </w:rPr>
        <w:t>грунтов</w:t>
      </w:r>
      <w:r w:rsidR="00344D07">
        <w:rPr>
          <w:rFonts w:ascii="Times New Roman" w:hAnsi="Times New Roman" w:cs="Times New Roman"/>
          <w:sz w:val="24"/>
          <w:szCs w:val="24"/>
        </w:rPr>
        <w:t>очный состав</w:t>
      </w:r>
      <w:r w:rsidR="00344D07" w:rsidRPr="00385E0F">
        <w:rPr>
          <w:rFonts w:ascii="Times New Roman" w:hAnsi="Times New Roman" w:cs="Times New Roman"/>
          <w:sz w:val="24"/>
          <w:szCs w:val="24"/>
        </w:rPr>
        <w:t xml:space="preserve"> необходимо перемешать в заводской упаковке или в другой емкости</w:t>
      </w:r>
      <w:r w:rsidR="00344D07">
        <w:rPr>
          <w:rFonts w:ascii="Times New Roman" w:hAnsi="Times New Roman" w:cs="Times New Roman"/>
          <w:sz w:val="24"/>
          <w:szCs w:val="24"/>
        </w:rPr>
        <w:t xml:space="preserve"> не</w:t>
      </w:r>
      <w:r w:rsidR="00344D07" w:rsidRPr="00385E0F">
        <w:rPr>
          <w:rFonts w:ascii="Times New Roman" w:hAnsi="Times New Roman" w:cs="Times New Roman"/>
          <w:sz w:val="24"/>
          <w:szCs w:val="24"/>
        </w:rPr>
        <w:t>подверженно</w:t>
      </w:r>
      <w:r w:rsidR="00344D07">
        <w:rPr>
          <w:rFonts w:ascii="Times New Roman" w:hAnsi="Times New Roman" w:cs="Times New Roman"/>
          <w:sz w:val="24"/>
          <w:szCs w:val="24"/>
        </w:rPr>
        <w:t>й</w:t>
      </w:r>
      <w:r w:rsidR="00344D07" w:rsidRPr="00385E0F">
        <w:rPr>
          <w:rFonts w:ascii="Times New Roman" w:hAnsi="Times New Roman" w:cs="Times New Roman"/>
          <w:sz w:val="24"/>
          <w:szCs w:val="24"/>
        </w:rPr>
        <w:t xml:space="preserve"> коррозии.</w:t>
      </w:r>
      <w:r w:rsidR="00344D07">
        <w:rPr>
          <w:rFonts w:ascii="Times New Roman" w:hAnsi="Times New Roman" w:cs="Times New Roman"/>
          <w:sz w:val="24"/>
          <w:szCs w:val="24"/>
        </w:rPr>
        <w:t xml:space="preserve"> </w:t>
      </w:r>
      <w:r w:rsidR="00FD0D09">
        <w:rPr>
          <w:rFonts w:ascii="Times New Roman" w:hAnsi="Times New Roman" w:cs="Times New Roman"/>
          <w:sz w:val="24"/>
          <w:szCs w:val="24"/>
        </w:rPr>
        <w:t xml:space="preserve">Приготовленный грунтовочный состав </w:t>
      </w:r>
      <w:r w:rsidR="00FD0D09" w:rsidRPr="003A167E">
        <w:rPr>
          <w:rFonts w:ascii="Times New Roman" w:hAnsi="Times New Roman" w:cs="Times New Roman"/>
          <w:sz w:val="24"/>
          <w:szCs w:val="24"/>
        </w:rPr>
        <w:t>равномерно</w:t>
      </w:r>
      <w:r w:rsidR="00FD0D09">
        <w:rPr>
          <w:rFonts w:ascii="Times New Roman" w:hAnsi="Times New Roman" w:cs="Times New Roman"/>
          <w:sz w:val="24"/>
          <w:szCs w:val="24"/>
        </w:rPr>
        <w:t xml:space="preserve"> наносится на поверхность основания</w:t>
      </w:r>
      <w:r w:rsidR="003A167E" w:rsidRPr="003A167E">
        <w:rPr>
          <w:rFonts w:ascii="Times New Roman" w:hAnsi="Times New Roman" w:cs="Times New Roman"/>
          <w:sz w:val="24"/>
          <w:szCs w:val="24"/>
        </w:rPr>
        <w:t xml:space="preserve"> на основание при помощи кисти или валика.</w:t>
      </w:r>
      <w:r w:rsidR="003A167E">
        <w:rPr>
          <w:rFonts w:ascii="Times New Roman" w:hAnsi="Times New Roman" w:cs="Times New Roman"/>
          <w:sz w:val="24"/>
          <w:szCs w:val="24"/>
        </w:rPr>
        <w:t xml:space="preserve"> </w:t>
      </w:r>
      <w:r w:rsidRPr="003447CA">
        <w:rPr>
          <w:rFonts w:ascii="Times New Roman" w:hAnsi="Times New Roman" w:cs="Times New Roman"/>
          <w:sz w:val="24"/>
          <w:szCs w:val="24"/>
        </w:rPr>
        <w:t xml:space="preserve">При </w:t>
      </w:r>
      <w:r w:rsidR="00385E0F" w:rsidRPr="003447CA">
        <w:rPr>
          <w:rFonts w:ascii="Times New Roman" w:hAnsi="Times New Roman" w:cs="Times New Roman"/>
          <w:sz w:val="24"/>
          <w:szCs w:val="24"/>
        </w:rPr>
        <w:t>грунтовании сильно впитывающих, пористых или рыхлых оснований необходимо нанесение грунтов</w:t>
      </w:r>
      <w:r w:rsidR="003447CA" w:rsidRPr="003447CA">
        <w:rPr>
          <w:rFonts w:ascii="Times New Roman" w:hAnsi="Times New Roman" w:cs="Times New Roman"/>
          <w:sz w:val="24"/>
          <w:szCs w:val="24"/>
        </w:rPr>
        <w:t>очного состава,</w:t>
      </w:r>
      <w:r w:rsidR="00585C20" w:rsidRPr="003447CA">
        <w:rPr>
          <w:rFonts w:ascii="Times New Roman" w:hAnsi="Times New Roman" w:cs="Times New Roman"/>
          <w:sz w:val="24"/>
          <w:szCs w:val="24"/>
        </w:rPr>
        <w:t xml:space="preserve"> разбавленно</w:t>
      </w:r>
      <w:r w:rsidR="003447CA" w:rsidRPr="003447CA">
        <w:rPr>
          <w:rFonts w:ascii="Times New Roman" w:hAnsi="Times New Roman" w:cs="Times New Roman"/>
          <w:sz w:val="24"/>
          <w:szCs w:val="24"/>
        </w:rPr>
        <w:t>го</w:t>
      </w:r>
      <w:r w:rsidR="00585C20" w:rsidRPr="003447CA">
        <w:rPr>
          <w:rFonts w:ascii="Times New Roman" w:hAnsi="Times New Roman" w:cs="Times New Roman"/>
          <w:sz w:val="24"/>
          <w:szCs w:val="24"/>
        </w:rPr>
        <w:t xml:space="preserve"> </w:t>
      </w:r>
      <w:r w:rsidR="00895C48" w:rsidRPr="003447CA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385E0F" w:rsidRPr="003447CA">
        <w:rPr>
          <w:rFonts w:ascii="Times New Roman" w:hAnsi="Times New Roman" w:cs="Times New Roman"/>
          <w:sz w:val="24"/>
          <w:szCs w:val="24"/>
        </w:rPr>
        <w:t>за 2 раза.</w:t>
      </w:r>
      <w:r w:rsidR="00895C48" w:rsidRPr="003447CA">
        <w:rPr>
          <w:rFonts w:ascii="Times New Roman" w:hAnsi="Times New Roman" w:cs="Times New Roman"/>
          <w:sz w:val="24"/>
          <w:szCs w:val="24"/>
        </w:rPr>
        <w:t xml:space="preserve"> </w:t>
      </w:r>
      <w:r w:rsidR="000D3490">
        <w:rPr>
          <w:rFonts w:ascii="Times New Roman" w:hAnsi="Times New Roman" w:cs="Times New Roman"/>
          <w:sz w:val="24"/>
          <w:szCs w:val="24"/>
        </w:rPr>
        <w:t>Для первого слоя грунтов</w:t>
      </w:r>
      <w:r w:rsidR="00407FBA">
        <w:rPr>
          <w:rFonts w:ascii="Times New Roman" w:hAnsi="Times New Roman" w:cs="Times New Roman"/>
          <w:sz w:val="24"/>
          <w:szCs w:val="24"/>
        </w:rPr>
        <w:t>очный состав</w:t>
      </w:r>
      <w:r w:rsidR="000D3490">
        <w:rPr>
          <w:rFonts w:ascii="Times New Roman" w:hAnsi="Times New Roman" w:cs="Times New Roman"/>
          <w:sz w:val="24"/>
          <w:szCs w:val="24"/>
        </w:rPr>
        <w:t xml:space="preserve"> требуется обильно нанести до полного насыщения поверхности</w:t>
      </w:r>
      <w:r w:rsidR="000D3490">
        <w:rPr>
          <w:rFonts w:ascii="Times New Roman" w:hAnsi="Times New Roman" w:cs="Times New Roman"/>
          <w:sz w:val="24"/>
          <w:szCs w:val="24"/>
        </w:rPr>
        <w:t xml:space="preserve"> </w:t>
      </w:r>
      <w:r w:rsidR="000D3490" w:rsidRPr="003447CA">
        <w:rPr>
          <w:rFonts w:ascii="Times New Roman" w:hAnsi="Times New Roman" w:cs="Times New Roman"/>
          <w:sz w:val="24"/>
          <w:szCs w:val="24"/>
        </w:rPr>
        <w:t>основания</w:t>
      </w:r>
      <w:r w:rsidR="000D3490">
        <w:rPr>
          <w:rFonts w:ascii="Times New Roman" w:hAnsi="Times New Roman" w:cs="Times New Roman"/>
          <w:sz w:val="24"/>
          <w:szCs w:val="24"/>
        </w:rPr>
        <w:t xml:space="preserve"> и </w:t>
      </w:r>
      <w:r w:rsidR="003447CA" w:rsidRPr="003447CA">
        <w:rPr>
          <w:rFonts w:ascii="Times New Roman" w:hAnsi="Times New Roman" w:cs="Times New Roman"/>
          <w:sz w:val="24"/>
          <w:szCs w:val="24"/>
        </w:rPr>
        <w:t>дать немного впитаться.</w:t>
      </w:r>
      <w:r w:rsidR="00385E0F" w:rsidRPr="003447CA">
        <w:rPr>
          <w:rFonts w:ascii="Times New Roman" w:hAnsi="Times New Roman" w:cs="Times New Roman"/>
          <w:sz w:val="24"/>
          <w:szCs w:val="24"/>
        </w:rPr>
        <w:t xml:space="preserve"> Не позволяя грунтовке полностью высохнуть, по</w:t>
      </w:r>
      <w:r w:rsidR="003447CA" w:rsidRPr="003447CA">
        <w:rPr>
          <w:rFonts w:ascii="Times New Roman" w:hAnsi="Times New Roman" w:cs="Times New Roman"/>
          <w:sz w:val="24"/>
          <w:szCs w:val="24"/>
        </w:rPr>
        <w:t xml:space="preserve"> ещё</w:t>
      </w:r>
      <w:r w:rsidR="00385E0F" w:rsidRPr="003447CA">
        <w:rPr>
          <w:rFonts w:ascii="Times New Roman" w:hAnsi="Times New Roman" w:cs="Times New Roman"/>
          <w:sz w:val="24"/>
          <w:szCs w:val="24"/>
        </w:rPr>
        <w:t xml:space="preserve"> влажной поверхности</w:t>
      </w:r>
      <w:r w:rsidR="003A167E" w:rsidRPr="003447CA">
        <w:rPr>
          <w:rFonts w:ascii="Times New Roman" w:hAnsi="Times New Roman" w:cs="Times New Roman"/>
          <w:sz w:val="24"/>
          <w:szCs w:val="24"/>
        </w:rPr>
        <w:t xml:space="preserve"> основания,</w:t>
      </w:r>
      <w:r w:rsidR="00385E0F" w:rsidRPr="003447CA">
        <w:rPr>
          <w:rFonts w:ascii="Times New Roman" w:hAnsi="Times New Roman" w:cs="Times New Roman"/>
          <w:sz w:val="24"/>
          <w:szCs w:val="24"/>
        </w:rPr>
        <w:t xml:space="preserve"> нанести второй слой </w:t>
      </w:r>
      <w:r w:rsidR="003A167E" w:rsidRPr="003447CA">
        <w:rPr>
          <w:rFonts w:ascii="Times New Roman" w:hAnsi="Times New Roman" w:cs="Times New Roman"/>
          <w:sz w:val="24"/>
          <w:szCs w:val="24"/>
        </w:rPr>
        <w:t xml:space="preserve">разбавленной </w:t>
      </w:r>
      <w:r w:rsidR="000D3490" w:rsidRPr="003447CA">
        <w:rPr>
          <w:rFonts w:ascii="Times New Roman" w:hAnsi="Times New Roman" w:cs="Times New Roman"/>
          <w:sz w:val="24"/>
          <w:szCs w:val="24"/>
        </w:rPr>
        <w:t>в необходимой пропорции</w:t>
      </w:r>
      <w:r w:rsidR="000D3490" w:rsidRPr="003447CA">
        <w:rPr>
          <w:rFonts w:ascii="Times New Roman" w:hAnsi="Times New Roman" w:cs="Times New Roman"/>
          <w:sz w:val="24"/>
          <w:szCs w:val="24"/>
        </w:rPr>
        <w:t xml:space="preserve"> </w:t>
      </w:r>
      <w:r w:rsidR="00385E0F" w:rsidRPr="003447CA">
        <w:rPr>
          <w:rFonts w:ascii="Times New Roman" w:hAnsi="Times New Roman" w:cs="Times New Roman"/>
          <w:sz w:val="24"/>
          <w:szCs w:val="24"/>
        </w:rPr>
        <w:t>грунтовки</w:t>
      </w:r>
      <w:r w:rsidR="003A167E" w:rsidRPr="003447CA">
        <w:rPr>
          <w:rFonts w:ascii="Times New Roman" w:hAnsi="Times New Roman" w:cs="Times New Roman"/>
          <w:sz w:val="24"/>
          <w:szCs w:val="24"/>
        </w:rPr>
        <w:t>.</w:t>
      </w:r>
      <w:r w:rsidR="0038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49" w:rsidRDefault="00C47A49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49" w:rsidRDefault="00C47A49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A" w:rsidRDefault="00407FBA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A" w:rsidRDefault="00407FBA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49" w:rsidRPr="00587EA8" w:rsidRDefault="00587EA8" w:rsidP="007B38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D09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разбавлению: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992"/>
        <w:gridCol w:w="1380"/>
        <w:gridCol w:w="1272"/>
        <w:gridCol w:w="1662"/>
      </w:tblGrid>
      <w:tr w:rsidR="0012283F" w:rsidRPr="001B0D94" w:rsidTr="00BD4521">
        <w:tc>
          <w:tcPr>
            <w:tcW w:w="5670" w:type="dxa"/>
            <w:gridSpan w:val="2"/>
            <w:vMerge w:val="restart"/>
            <w:vAlign w:val="center"/>
          </w:tcPr>
          <w:p w:rsidR="0012283F" w:rsidRPr="00B335F0" w:rsidRDefault="0012283F" w:rsidP="001B0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5F0">
              <w:rPr>
                <w:rFonts w:ascii="Times New Roman" w:hAnsi="Times New Roman" w:cs="Times New Roman"/>
                <w:b/>
              </w:rPr>
              <w:t>Вид основания</w:t>
            </w:r>
            <w:r w:rsidR="001B0D94" w:rsidRPr="00B335F0">
              <w:rPr>
                <w:rFonts w:ascii="Times New Roman" w:hAnsi="Times New Roman" w:cs="Times New Roman"/>
                <w:b/>
              </w:rPr>
              <w:t xml:space="preserve"> (количество слоев)</w:t>
            </w:r>
          </w:p>
        </w:tc>
        <w:tc>
          <w:tcPr>
            <w:tcW w:w="2652" w:type="dxa"/>
            <w:gridSpan w:val="2"/>
            <w:vAlign w:val="center"/>
          </w:tcPr>
          <w:p w:rsidR="0012283F" w:rsidRPr="00B335F0" w:rsidRDefault="0012283F" w:rsidP="0019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5F0">
              <w:rPr>
                <w:rFonts w:ascii="Times New Roman" w:hAnsi="Times New Roman" w:cs="Times New Roman"/>
                <w:b/>
              </w:rPr>
              <w:t>Пропорции разбавления</w:t>
            </w:r>
          </w:p>
        </w:tc>
        <w:tc>
          <w:tcPr>
            <w:tcW w:w="1662" w:type="dxa"/>
            <w:vMerge w:val="restart"/>
          </w:tcPr>
          <w:p w:rsidR="0012283F" w:rsidRPr="00B335F0" w:rsidRDefault="0012283F" w:rsidP="0085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5F0">
              <w:rPr>
                <w:rFonts w:ascii="Times New Roman" w:hAnsi="Times New Roman" w:cs="Times New Roman"/>
                <w:b/>
              </w:rPr>
              <w:t>Расход</w:t>
            </w:r>
            <w:r w:rsidR="008554D0" w:rsidRPr="00B335F0">
              <w:rPr>
                <w:rFonts w:ascii="Times New Roman" w:hAnsi="Times New Roman" w:cs="Times New Roman"/>
                <w:b/>
              </w:rPr>
              <w:t xml:space="preserve"> концентрата</w:t>
            </w:r>
            <w:r w:rsidRPr="00B335F0">
              <w:rPr>
                <w:rFonts w:ascii="Times New Roman" w:hAnsi="Times New Roman" w:cs="Times New Roman"/>
                <w:b/>
              </w:rPr>
              <w:t>,</w:t>
            </w:r>
            <w:r w:rsidR="008554D0" w:rsidRPr="00B335F0">
              <w:rPr>
                <w:rFonts w:ascii="Times New Roman" w:hAnsi="Times New Roman" w:cs="Times New Roman"/>
                <w:b/>
              </w:rPr>
              <w:t xml:space="preserve"> </w:t>
            </w:r>
            <w:r w:rsidRPr="00B335F0">
              <w:rPr>
                <w:rFonts w:ascii="Times New Roman" w:hAnsi="Times New Roman" w:cs="Times New Roman"/>
                <w:b/>
              </w:rPr>
              <w:t>мл/м</w:t>
            </w:r>
            <w:r w:rsidRPr="00B335F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12283F" w:rsidRPr="001B0D94" w:rsidTr="00BD4521">
        <w:tc>
          <w:tcPr>
            <w:tcW w:w="5670" w:type="dxa"/>
            <w:gridSpan w:val="2"/>
            <w:vMerge/>
            <w:vAlign w:val="center"/>
          </w:tcPr>
          <w:p w:rsidR="0012283F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12283F" w:rsidRPr="00B335F0" w:rsidRDefault="0012283F" w:rsidP="001953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5F0">
              <w:rPr>
                <w:rFonts w:ascii="Times New Roman" w:hAnsi="Times New Roman" w:cs="Times New Roman"/>
                <w:b/>
              </w:rPr>
              <w:t>концентрат</w:t>
            </w:r>
          </w:p>
        </w:tc>
        <w:tc>
          <w:tcPr>
            <w:tcW w:w="1272" w:type="dxa"/>
            <w:vAlign w:val="center"/>
          </w:tcPr>
          <w:p w:rsidR="0012283F" w:rsidRPr="00B335F0" w:rsidRDefault="0012283F" w:rsidP="0019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5F0"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1662" w:type="dxa"/>
            <w:vMerge/>
          </w:tcPr>
          <w:p w:rsidR="0012283F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3BE" w:rsidRPr="001B0D94" w:rsidTr="00BD4521">
        <w:tc>
          <w:tcPr>
            <w:tcW w:w="4678" w:type="dxa"/>
            <w:vMerge w:val="restart"/>
          </w:tcPr>
          <w:p w:rsidR="001953BE" w:rsidRPr="00B335F0" w:rsidRDefault="001953BE" w:rsidP="0012283F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Газобетон</w:t>
            </w:r>
            <w:r w:rsidR="0012283F" w:rsidRPr="00B335F0">
              <w:rPr>
                <w:rFonts w:ascii="Times New Roman" w:hAnsi="Times New Roman" w:cs="Times New Roman"/>
              </w:rPr>
              <w:t>, пенобетон</w:t>
            </w:r>
          </w:p>
        </w:tc>
        <w:tc>
          <w:tcPr>
            <w:tcW w:w="992" w:type="dxa"/>
          </w:tcPr>
          <w:p w:rsidR="001953BE" w:rsidRPr="00B335F0" w:rsidRDefault="001953BE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662" w:type="dxa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11-25</w:t>
            </w:r>
          </w:p>
        </w:tc>
      </w:tr>
      <w:tr w:rsidR="001953BE" w:rsidRPr="001B0D94" w:rsidTr="00BD4521">
        <w:tc>
          <w:tcPr>
            <w:tcW w:w="4678" w:type="dxa"/>
            <w:vMerge/>
          </w:tcPr>
          <w:p w:rsidR="001953BE" w:rsidRPr="00B335F0" w:rsidRDefault="001953BE" w:rsidP="0012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53BE" w:rsidRPr="00B335F0" w:rsidRDefault="001953BE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2 слой</w:t>
            </w:r>
          </w:p>
        </w:tc>
        <w:tc>
          <w:tcPr>
            <w:tcW w:w="1380" w:type="dxa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62" w:type="dxa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17-40</w:t>
            </w:r>
          </w:p>
        </w:tc>
      </w:tr>
      <w:tr w:rsidR="0012283F" w:rsidRPr="001B0D94" w:rsidTr="00BD4521">
        <w:tc>
          <w:tcPr>
            <w:tcW w:w="4678" w:type="dxa"/>
            <w:vMerge w:val="restart"/>
          </w:tcPr>
          <w:p w:rsidR="0012283F" w:rsidRPr="00B335F0" w:rsidRDefault="0012283F" w:rsidP="0012283F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Керамзитобетон, газосиликат, шлакобетон</w:t>
            </w:r>
          </w:p>
        </w:tc>
        <w:tc>
          <w:tcPr>
            <w:tcW w:w="992" w:type="dxa"/>
          </w:tcPr>
          <w:p w:rsidR="0012283F" w:rsidRPr="00B335F0" w:rsidRDefault="0012283F" w:rsidP="0012283F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662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13-29</w:t>
            </w:r>
          </w:p>
        </w:tc>
      </w:tr>
      <w:tr w:rsidR="0012283F" w:rsidRPr="001B0D94" w:rsidTr="00BD4521">
        <w:tc>
          <w:tcPr>
            <w:tcW w:w="4678" w:type="dxa"/>
            <w:vMerge/>
          </w:tcPr>
          <w:p w:rsidR="0012283F" w:rsidRPr="00B335F0" w:rsidRDefault="0012283F" w:rsidP="00122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283F" w:rsidRPr="00B335F0" w:rsidRDefault="0012283F" w:rsidP="0012283F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2 слой</w:t>
            </w:r>
          </w:p>
        </w:tc>
        <w:tc>
          <w:tcPr>
            <w:tcW w:w="1380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62" w:type="dxa"/>
          </w:tcPr>
          <w:p w:rsidR="0012283F" w:rsidRPr="00B335F0" w:rsidRDefault="0012283F" w:rsidP="0012283F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17-40</w:t>
            </w:r>
          </w:p>
        </w:tc>
      </w:tr>
      <w:tr w:rsidR="001953BE" w:rsidRPr="001B0D94" w:rsidTr="00BD4521">
        <w:tc>
          <w:tcPr>
            <w:tcW w:w="4678" w:type="dxa"/>
          </w:tcPr>
          <w:p w:rsidR="001953BE" w:rsidRPr="00B335F0" w:rsidRDefault="0012283F" w:rsidP="0012283F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Кирпич силикатный, кирпич керамический</w:t>
            </w:r>
          </w:p>
        </w:tc>
        <w:tc>
          <w:tcPr>
            <w:tcW w:w="992" w:type="dxa"/>
            <w:vAlign w:val="center"/>
          </w:tcPr>
          <w:p w:rsidR="001953BE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  <w:vAlign w:val="center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Align w:val="center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62" w:type="dxa"/>
            <w:vAlign w:val="center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15-40</w:t>
            </w:r>
          </w:p>
        </w:tc>
      </w:tr>
      <w:tr w:rsidR="001953BE" w:rsidRPr="001B0D94" w:rsidTr="00BD4521">
        <w:tc>
          <w:tcPr>
            <w:tcW w:w="4678" w:type="dxa"/>
          </w:tcPr>
          <w:p w:rsidR="001953BE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Цементно-песчаная штукатурка, стяжка</w:t>
            </w:r>
          </w:p>
        </w:tc>
        <w:tc>
          <w:tcPr>
            <w:tcW w:w="992" w:type="dxa"/>
            <w:vAlign w:val="center"/>
          </w:tcPr>
          <w:p w:rsidR="001953BE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  <w:vAlign w:val="center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Align w:val="center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62" w:type="dxa"/>
            <w:vAlign w:val="center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17-40</w:t>
            </w:r>
          </w:p>
        </w:tc>
      </w:tr>
      <w:tr w:rsidR="001953BE" w:rsidRPr="001B0D94" w:rsidTr="00BD4521">
        <w:tc>
          <w:tcPr>
            <w:tcW w:w="4678" w:type="dxa"/>
          </w:tcPr>
          <w:p w:rsidR="001953BE" w:rsidRPr="00B335F0" w:rsidRDefault="0012283F" w:rsidP="0012283F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Гипсовая, известково-цементная штукатурка</w:t>
            </w:r>
          </w:p>
        </w:tc>
        <w:tc>
          <w:tcPr>
            <w:tcW w:w="992" w:type="dxa"/>
            <w:vAlign w:val="center"/>
          </w:tcPr>
          <w:p w:rsidR="001953BE" w:rsidRPr="00B335F0" w:rsidRDefault="0012283F" w:rsidP="007B38E1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  <w:vAlign w:val="center"/>
          </w:tcPr>
          <w:p w:rsidR="001953BE" w:rsidRPr="00B335F0" w:rsidRDefault="001953BE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Align w:val="center"/>
          </w:tcPr>
          <w:p w:rsidR="001953BE" w:rsidRPr="00B335F0" w:rsidRDefault="0012283F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62" w:type="dxa"/>
            <w:vAlign w:val="center"/>
          </w:tcPr>
          <w:p w:rsidR="001953BE" w:rsidRPr="00B335F0" w:rsidRDefault="001B0D94" w:rsidP="001953BE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15-35</w:t>
            </w:r>
          </w:p>
        </w:tc>
      </w:tr>
      <w:tr w:rsidR="001B0D94" w:rsidRPr="001B0D94" w:rsidTr="00BD4521">
        <w:tc>
          <w:tcPr>
            <w:tcW w:w="4678" w:type="dxa"/>
          </w:tcPr>
          <w:p w:rsidR="001B0D94" w:rsidRPr="00B335F0" w:rsidRDefault="001B0D94" w:rsidP="001B0D94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Гипсовые, ангидритовые стяжки</w:t>
            </w:r>
          </w:p>
        </w:tc>
        <w:tc>
          <w:tcPr>
            <w:tcW w:w="992" w:type="dxa"/>
            <w:vAlign w:val="center"/>
          </w:tcPr>
          <w:p w:rsidR="001B0D94" w:rsidRPr="00B335F0" w:rsidRDefault="001B0D94" w:rsidP="001B0D94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20-40</w:t>
            </w:r>
          </w:p>
        </w:tc>
      </w:tr>
      <w:tr w:rsidR="001B0D94" w:rsidRPr="001B0D94" w:rsidTr="00BD4521">
        <w:tc>
          <w:tcPr>
            <w:tcW w:w="4678" w:type="dxa"/>
          </w:tcPr>
          <w:p w:rsidR="001B0D94" w:rsidRPr="00B335F0" w:rsidRDefault="001B0D94" w:rsidP="001B0D94">
            <w:pPr>
              <w:jc w:val="both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Гипсокартон, ГВЛ, ДСП</w:t>
            </w:r>
          </w:p>
        </w:tc>
        <w:tc>
          <w:tcPr>
            <w:tcW w:w="992" w:type="dxa"/>
            <w:vAlign w:val="center"/>
          </w:tcPr>
          <w:p w:rsidR="001B0D94" w:rsidRPr="00B335F0" w:rsidRDefault="001B0D94" w:rsidP="001B0D94">
            <w:pPr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 слой</w:t>
            </w:r>
          </w:p>
        </w:tc>
        <w:tc>
          <w:tcPr>
            <w:tcW w:w="1380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62" w:type="dxa"/>
            <w:vAlign w:val="center"/>
          </w:tcPr>
          <w:p w:rsidR="001B0D94" w:rsidRPr="00B335F0" w:rsidRDefault="001B0D94" w:rsidP="001B0D94">
            <w:pPr>
              <w:jc w:val="center"/>
              <w:rPr>
                <w:rFonts w:ascii="Times New Roman" w:hAnsi="Times New Roman" w:cs="Times New Roman"/>
              </w:rPr>
            </w:pPr>
            <w:r w:rsidRPr="00B335F0">
              <w:rPr>
                <w:rFonts w:ascii="Times New Roman" w:hAnsi="Times New Roman" w:cs="Times New Roman"/>
              </w:rPr>
              <w:t>15-35</w:t>
            </w:r>
          </w:p>
        </w:tc>
      </w:tr>
    </w:tbl>
    <w:p w:rsidR="00C47A49" w:rsidRDefault="00587EA8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грунтовки</w:t>
      </w:r>
      <w:r w:rsidR="00F928ED">
        <w:rPr>
          <w:rFonts w:ascii="Times New Roman" w:hAnsi="Times New Roman" w:cs="Times New Roman"/>
          <w:sz w:val="24"/>
          <w:szCs w:val="24"/>
        </w:rPr>
        <w:t xml:space="preserve"> (концентрата)</w:t>
      </w:r>
      <w:r>
        <w:rPr>
          <w:rFonts w:ascii="Times New Roman" w:hAnsi="Times New Roman" w:cs="Times New Roman"/>
          <w:sz w:val="24"/>
          <w:szCs w:val="24"/>
        </w:rPr>
        <w:t xml:space="preserve"> зависит от впитывающей</w:t>
      </w:r>
      <w:r w:rsidR="00F928ED">
        <w:rPr>
          <w:rFonts w:ascii="Times New Roman" w:hAnsi="Times New Roman" w:cs="Times New Roman"/>
          <w:sz w:val="24"/>
          <w:szCs w:val="24"/>
        </w:rPr>
        <w:t xml:space="preserve"> способности основания и пропорции разбавления.</w:t>
      </w:r>
    </w:p>
    <w:p w:rsidR="00F928ED" w:rsidRPr="00407FBA" w:rsidRDefault="00F928ED" w:rsidP="007B3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FB8" w:rsidRPr="00407FBA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применения:</w:t>
      </w:r>
    </w:p>
    <w:p w:rsidR="00252FB8" w:rsidRPr="009D0990" w:rsidRDefault="003A167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67E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должны производится при температуре воздуха, основания и материала от +5°C до +30°C и относительной влажности воздуха не выше 80%. Не допускается производить работы при прямых солнечных лучах, под дождем и при сильном ветре.</w:t>
      </w:r>
    </w:p>
    <w:p w:rsidR="003A167E" w:rsidRPr="00407FBA" w:rsidRDefault="003A167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Упаковка:</w:t>
      </w:r>
    </w:p>
    <w:p w:rsidR="00243AB4" w:rsidRDefault="00243AB4" w:rsidP="0024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B">
        <w:rPr>
          <w:rFonts w:ascii="Times New Roman" w:hAnsi="Times New Roman" w:cs="Times New Roman"/>
          <w:sz w:val="24"/>
          <w:szCs w:val="24"/>
        </w:rPr>
        <w:t>Грунтовка глубокопроникающая DeRock DG-1</w:t>
      </w:r>
      <w:r>
        <w:rPr>
          <w:rFonts w:ascii="Times New Roman" w:hAnsi="Times New Roman" w:cs="Times New Roman"/>
          <w:sz w:val="24"/>
          <w:szCs w:val="24"/>
        </w:rPr>
        <w:t xml:space="preserve">5 поставляется в </w:t>
      </w:r>
      <w:r w:rsidRPr="00A37F36">
        <w:rPr>
          <w:rFonts w:ascii="Times New Roman" w:hAnsi="Times New Roman" w:cs="Times New Roman"/>
          <w:sz w:val="24"/>
          <w:szCs w:val="24"/>
          <w:highlight w:val="yellow"/>
        </w:rPr>
        <w:t>пластиковых ёмкостях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по 5 л, 10 л, 15 л</w:t>
      </w:r>
      <w:r w:rsidRPr="00A37F3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Срок хранения:</w:t>
      </w:r>
    </w:p>
    <w:p w:rsidR="00012179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F36">
        <w:rPr>
          <w:rFonts w:ascii="Times New Roman" w:eastAsia="Calibri" w:hAnsi="Times New Roman" w:cs="Times New Roman"/>
          <w:sz w:val="24"/>
          <w:szCs w:val="24"/>
          <w:lang w:eastAsia="en-US"/>
        </w:rPr>
        <w:t>Срок хранения при транспортировке и хран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ении в сухом месте, на поддонах или стеллажах</w:t>
      </w:r>
      <w:r w:rsidRPr="00A37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оригинальной неповрежденной упаковке составляет 12 месяцев.</w:t>
      </w:r>
      <w:r w:rsidR="000121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12179" w:rsidRPr="00407FBA" w:rsidRDefault="00012179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Меры предосторожности:</w:t>
      </w:r>
    </w:p>
    <w:p w:rsidR="00243AB4" w:rsidRPr="00C83309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соблюдать все действующие правила по технике безопасности. Грунтовка может оказывать, при пренебрежении правил личной гигиены, неблагоприятное воздействие на кожу и слизистую оболочку. Избегайте попадания грунтовки в пищеварительный тракт. Во время работы необходимо использовать средства индивидуальной защиты (рабочую одежду, рабочие перчатки), в случае необходимости для защиты глаз - очки. Перед перерывом в работе и после работы помыть руки водой с мылом и смазать восстанавливающим кремом. Хранить в недоступном для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>месте.</w:t>
      </w: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3AB4" w:rsidRPr="00407FBA" w:rsidRDefault="00243AB4" w:rsidP="00243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FBA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Технические характеристики:</w:t>
      </w:r>
    </w:p>
    <w:p w:rsidR="00243AB4" w:rsidRPr="00F30F7E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 xml:space="preserve">Состав: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4EB9">
        <w:rPr>
          <w:rFonts w:ascii="Times New Roman" w:hAnsi="Times New Roman" w:cs="Times New Roman"/>
          <w:sz w:val="24"/>
          <w:szCs w:val="24"/>
        </w:rPr>
        <w:t xml:space="preserve">    </w:t>
      </w:r>
      <w:r w:rsidRPr="00C864DE">
        <w:rPr>
          <w:rFonts w:ascii="Times New Roman" w:hAnsi="Times New Roman" w:cs="Times New Roman"/>
          <w:sz w:val="24"/>
          <w:szCs w:val="24"/>
        </w:rPr>
        <w:t>водная дисперсия</w:t>
      </w:r>
      <w:r>
        <w:rPr>
          <w:rFonts w:ascii="Times New Roman" w:hAnsi="Times New Roman" w:cs="Times New Roman"/>
          <w:sz w:val="24"/>
          <w:szCs w:val="24"/>
        </w:rPr>
        <w:t xml:space="preserve"> сополимеров акрилатов, модифицирующие добавки.</w:t>
      </w:r>
    </w:p>
    <w:p w:rsidR="00243AB4" w:rsidRPr="00F30F7E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 xml:space="preserve">Цвет в жидком состоянии: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F7E">
        <w:rPr>
          <w:rFonts w:ascii="Times New Roman" w:hAnsi="Times New Roman" w:cs="Times New Roman"/>
          <w:sz w:val="24"/>
          <w:szCs w:val="24"/>
        </w:rPr>
        <w:t>молочно – белый.</w:t>
      </w:r>
    </w:p>
    <w:p w:rsidR="00243AB4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 xml:space="preserve">Цвет (высохшей пленки):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F7E">
        <w:rPr>
          <w:rFonts w:ascii="Times New Roman" w:hAnsi="Times New Roman" w:cs="Times New Roman"/>
          <w:sz w:val="24"/>
          <w:szCs w:val="24"/>
        </w:rPr>
        <w:t>прозрачный.</w:t>
      </w:r>
    </w:p>
    <w:p w:rsidR="00243AB4" w:rsidRPr="00F30F7E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Плотность:                                  около 1,0 кг/дм</w:t>
      </w:r>
      <w:r w:rsidRPr="00F30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AB4" w:rsidRPr="00F30F7E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>Температура применения: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от +5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 до +30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243AB4" w:rsidRPr="00587EA8" w:rsidRDefault="00243AB4" w:rsidP="00243A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58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                              6,5-9,0</w:t>
      </w:r>
      <w:r w:rsidRPr="00587EA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52FB8" w:rsidRPr="00407FBA" w:rsidRDefault="00252FB8" w:rsidP="00243AB4">
      <w:pPr>
        <w:spacing w:after="0" w:line="240" w:lineRule="auto"/>
        <w:jc w:val="both"/>
        <w:rPr>
          <w:sz w:val="20"/>
          <w:szCs w:val="20"/>
        </w:rPr>
      </w:pP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Номер партии и дата изготовления указаны на упаковке.</w:t>
      </w:r>
    </w:p>
    <w:p w:rsidR="00587EA8" w:rsidRPr="00407FBA" w:rsidRDefault="00587EA8" w:rsidP="00587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Изготовитель: ООО «СТО»</w:t>
      </w: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Адрес производства: 302507, Орловская область, Орловский район, Платоновское с/п, ул. Чешская, д.6.</w:t>
      </w: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Тел.: +7(4862)36-37-37; +7(4862)36-37-38.</w:t>
      </w: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Организация, уполномоченная изготовителем на принятие претензии от потребителей:</w:t>
      </w:r>
    </w:p>
    <w:p w:rsidR="00587EA8" w:rsidRPr="00587EA8" w:rsidRDefault="00587EA8" w:rsidP="00587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ООО "Дэрок», 300027, Тульская область, город Тула, Приупская улица, дом 9, кв. 29</w:t>
      </w:r>
    </w:p>
    <w:p w:rsidR="00FC75F5" w:rsidRPr="00407FBA" w:rsidRDefault="00587EA8" w:rsidP="0024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 xml:space="preserve">Телефон: +7(4872) 70-80-90  </w:t>
      </w:r>
    </w:p>
    <w:sectPr w:rsidR="00FC75F5" w:rsidRPr="00407FBA" w:rsidSect="00252F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7C" w:rsidRDefault="00F05F7C" w:rsidP="006C6D6D">
      <w:pPr>
        <w:spacing w:after="0" w:line="240" w:lineRule="auto"/>
      </w:pPr>
      <w:r>
        <w:separator/>
      </w:r>
    </w:p>
  </w:endnote>
  <w:endnote w:type="continuationSeparator" w:id="0">
    <w:p w:rsidR="00F05F7C" w:rsidRDefault="00F05F7C" w:rsidP="006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7C" w:rsidRDefault="00F05F7C" w:rsidP="006C6D6D">
      <w:pPr>
        <w:spacing w:after="0" w:line="240" w:lineRule="auto"/>
      </w:pPr>
      <w:r>
        <w:separator/>
      </w:r>
    </w:p>
  </w:footnote>
  <w:footnote w:type="continuationSeparator" w:id="0">
    <w:p w:rsidR="00F05F7C" w:rsidRDefault="00F05F7C" w:rsidP="006C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2"/>
    <w:rsid w:val="00012179"/>
    <w:rsid w:val="00031D16"/>
    <w:rsid w:val="000362D1"/>
    <w:rsid w:val="00083E2D"/>
    <w:rsid w:val="000D3490"/>
    <w:rsid w:val="001114BE"/>
    <w:rsid w:val="0012283F"/>
    <w:rsid w:val="00123796"/>
    <w:rsid w:val="00133162"/>
    <w:rsid w:val="001901FC"/>
    <w:rsid w:val="00190D48"/>
    <w:rsid w:val="001953BE"/>
    <w:rsid w:val="001B0D94"/>
    <w:rsid w:val="001B7AFD"/>
    <w:rsid w:val="002011BA"/>
    <w:rsid w:val="00223062"/>
    <w:rsid w:val="002267BD"/>
    <w:rsid w:val="00243AB4"/>
    <w:rsid w:val="00252FB8"/>
    <w:rsid w:val="00262162"/>
    <w:rsid w:val="002B364F"/>
    <w:rsid w:val="003447CA"/>
    <w:rsid w:val="00344D07"/>
    <w:rsid w:val="00385E0F"/>
    <w:rsid w:val="003A167E"/>
    <w:rsid w:val="003B57A6"/>
    <w:rsid w:val="003F6F76"/>
    <w:rsid w:val="00407FBA"/>
    <w:rsid w:val="004C272F"/>
    <w:rsid w:val="004F13F1"/>
    <w:rsid w:val="004F72A5"/>
    <w:rsid w:val="005815DC"/>
    <w:rsid w:val="00585C20"/>
    <w:rsid w:val="00587EA8"/>
    <w:rsid w:val="005C7D3C"/>
    <w:rsid w:val="006815CC"/>
    <w:rsid w:val="006C6D6D"/>
    <w:rsid w:val="00714AC7"/>
    <w:rsid w:val="00766FBE"/>
    <w:rsid w:val="00780936"/>
    <w:rsid w:val="007A433C"/>
    <w:rsid w:val="007B38E1"/>
    <w:rsid w:val="008554D0"/>
    <w:rsid w:val="00895C48"/>
    <w:rsid w:val="008B60D0"/>
    <w:rsid w:val="009D0990"/>
    <w:rsid w:val="009E26B4"/>
    <w:rsid w:val="009F441F"/>
    <w:rsid w:val="00A37F36"/>
    <w:rsid w:val="00AA4EB9"/>
    <w:rsid w:val="00B0285A"/>
    <w:rsid w:val="00B335F0"/>
    <w:rsid w:val="00B34EE1"/>
    <w:rsid w:val="00B74992"/>
    <w:rsid w:val="00BD4521"/>
    <w:rsid w:val="00C0188B"/>
    <w:rsid w:val="00C43EBA"/>
    <w:rsid w:val="00C47A49"/>
    <w:rsid w:val="00C7052B"/>
    <w:rsid w:val="00CB6DDE"/>
    <w:rsid w:val="00D2109F"/>
    <w:rsid w:val="00D64269"/>
    <w:rsid w:val="00D775E2"/>
    <w:rsid w:val="00D8682C"/>
    <w:rsid w:val="00DC6190"/>
    <w:rsid w:val="00E57E7C"/>
    <w:rsid w:val="00EE50D1"/>
    <w:rsid w:val="00F05F7C"/>
    <w:rsid w:val="00F928ED"/>
    <w:rsid w:val="00FC75F5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3FA9"/>
  <w15:chartTrackingRefBased/>
  <w15:docId w15:val="{BDEE132F-E68A-439F-B0C1-23BA8CCB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D6D"/>
  </w:style>
  <w:style w:type="paragraph" w:styleId="a5">
    <w:name w:val="footer"/>
    <w:basedOn w:val="a"/>
    <w:link w:val="a6"/>
    <w:uiPriority w:val="99"/>
    <w:unhideWhenUsed/>
    <w:rsid w:val="006C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D6D"/>
  </w:style>
  <w:style w:type="paragraph" w:styleId="a7">
    <w:name w:val="No Spacing"/>
    <w:uiPriority w:val="1"/>
    <w:qFormat/>
    <w:rsid w:val="00D8682C"/>
    <w:pPr>
      <w:spacing w:after="0" w:line="240" w:lineRule="auto"/>
    </w:pPr>
  </w:style>
  <w:style w:type="table" w:styleId="a8">
    <w:name w:val="Table Grid"/>
    <w:basedOn w:val="a1"/>
    <w:uiPriority w:val="39"/>
    <w:rsid w:val="00C4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Tyupin</dc:creator>
  <cp:keywords/>
  <dc:description/>
  <cp:lastModifiedBy>Vladislav Tyupin</cp:lastModifiedBy>
  <cp:revision>21</cp:revision>
  <dcterms:created xsi:type="dcterms:W3CDTF">2023-10-12T12:49:00Z</dcterms:created>
  <dcterms:modified xsi:type="dcterms:W3CDTF">2023-10-30T12:42:00Z</dcterms:modified>
</cp:coreProperties>
</file>